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Balíky služieb k účtom</w:t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position w:val="0"/>
          <w:sz w:val="22"/>
          <w:u w:val="single"/>
          <w:vertAlign w:val="baseline"/>
        </w:rPr>
        <w:t>Podmienky bezplatného vedenia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365.bank</w:t>
      </w:r>
    </w:p>
    <w:p>
      <w:pPr>
        <w:pStyle w:val="Normal"/>
        <w:spacing w:lineRule="auto" w:line="240" w:before="0" w:after="0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Účet</w:t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position w:val="0"/>
          <w:sz w:val="22"/>
          <w:u w:val="single"/>
          <w:vertAlign w:val="baseline"/>
        </w:rPr>
        <w:t>mesačný poplatok za vedenie balíka služieb je 0,00 €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  <w:br/>
        <w:t>Účet a platobná karta zadarmo v prvej mobilnej banke na Slovensku. Získanie účtu nepodlieha žiadnym podmienkam. Neobmedzené a bezplatné výbery z vlastných bankomatov a na pošte.</w:t>
      </w:r>
      <w:r>
        <w:rPr>
          <w:position w:val="0"/>
          <w:sz w:val="22"/>
          <w:u w:val="single"/>
          <w:vertAlign w:val="baseline"/>
        </w:rPr>
        <w:t xml:space="preserve">  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ČSOB Banka</w:t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ČSOB Pohoda</w:t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position w:val="0"/>
          <w:sz w:val="22"/>
          <w:u w:val="single"/>
          <w:vertAlign w:val="baseline"/>
        </w:rPr>
        <w:t>mesačný poplatok za vedenie balíka služieb je 6,00 € / 3,00 € / 0,00 €</w:t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 w:val="false"/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 xml:space="preserve">50% zľava z poplatku za vedenie </w:t>
      </w:r>
    </w:p>
    <w:p>
      <w:pPr>
        <w:pStyle w:val="Normal"/>
        <w:keepNext w:val="false"/>
        <w:keepLines w:val="false"/>
        <w:widowControl/>
        <w:numPr>
          <w:ilvl w:val="0"/>
          <w:numId w:val="8"/>
        </w:numPr>
        <w:pBdr/>
        <w:shd w:val="clear" w:fill="auto"/>
        <w:spacing w:lineRule="auto" w:line="276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príjem na účet min. 400 € mesačne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a súčasne</w:t>
      </w:r>
    </w:p>
    <w:p>
      <w:pPr>
        <w:pStyle w:val="Normal"/>
        <w:keepNext w:val="false"/>
        <w:keepLines w:val="false"/>
        <w:widowControl/>
        <w:numPr>
          <w:ilvl w:val="0"/>
          <w:numId w:val="8"/>
        </w:numPr>
        <w:pBdr/>
        <w:shd w:val="clear" w:fill="auto"/>
        <w:spacing w:lineRule="auto" w:line="276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 pravidelné platby mesačne (na základe SEPA trvalého príkazu na úhradu alebo súhlasu so SEPA inkasom)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a súčasne</w:t>
      </w:r>
    </w:p>
    <w:p>
      <w:pPr>
        <w:pStyle w:val="Normal"/>
        <w:keepNext w:val="false"/>
        <w:keepLines w:val="false"/>
        <w:widowControl/>
        <w:numPr>
          <w:ilvl w:val="0"/>
          <w:numId w:val="8"/>
        </w:numPr>
        <w:pBdr/>
        <w:shd w:val="clear" w:fill="auto"/>
        <w:spacing w:lineRule="auto" w:line="276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5 platieb platobnou kartou mesačne (debetnou alebo kreditnou)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720" w:right="0" w:hanging="72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alebo</w:t>
      </w:r>
    </w:p>
    <w:p>
      <w:pPr>
        <w:pStyle w:val="Normal"/>
        <w:keepNext w:val="false"/>
        <w:keepLines w:val="false"/>
        <w:widowControl/>
        <w:numPr>
          <w:ilvl w:val="0"/>
          <w:numId w:val="9"/>
        </w:numPr>
        <w:pBdr/>
        <w:shd w:val="clear" w:fill="auto"/>
        <w:spacing w:lineRule="auto" w:line="276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priemerný mesačný stav úspor a/alebo nesplatených úverov v ČSOB min. 20.000 €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720" w:right="0" w:hanging="72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alebo</w:t>
      </w:r>
    </w:p>
    <w:p>
      <w:pPr>
        <w:pStyle w:val="Normal"/>
        <w:keepNext w:val="false"/>
        <w:keepLines w:val="false"/>
        <w:widowControl/>
        <w:numPr>
          <w:ilvl w:val="0"/>
          <w:numId w:val="9"/>
        </w:numPr>
        <w:pBdr/>
        <w:shd w:val="clear" w:fill="auto"/>
        <w:spacing w:lineRule="auto" w:line="276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aktívne využívanie podnikateľského konta (fyzická osoba min. 5 platobných operácií a kreditný obrat min. 3.000 €, právnická osoba min. 10 platobných operácií a kreditný obrat min. 3.000 €)</w:t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 w:val="false"/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 xml:space="preserve">100% zľava z poplatku za vedenie </w:t>
      </w:r>
    </w:p>
    <w:p>
      <w:pPr>
        <w:pStyle w:val="Normal"/>
        <w:keepNext w:val="false"/>
        <w:keepLines w:val="false"/>
        <w:widowControl/>
        <w:numPr>
          <w:ilvl w:val="0"/>
          <w:numId w:val="9"/>
        </w:numPr>
        <w:pBdr/>
        <w:shd w:val="clear" w:fill="auto"/>
        <w:spacing w:lineRule="auto" w:line="276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kombináciou min. dvoch 50% zliav 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ČSOB Extra Pohoda</w:t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position w:val="0"/>
          <w:sz w:val="22"/>
          <w:u w:val="single"/>
          <w:vertAlign w:val="baseline"/>
        </w:rPr>
        <w:t>mesačný poplatok za vedenie balíka služieb je 12,00 € / 6,00 € / 0,00 €</w:t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 w:val="false"/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 xml:space="preserve">50% zľava z poplatku za vedenie </w:t>
      </w:r>
    </w:p>
    <w:p>
      <w:pPr>
        <w:pStyle w:val="Normal"/>
        <w:keepNext w:val="false"/>
        <w:keepLines w:val="false"/>
        <w:widowControl/>
        <w:numPr>
          <w:ilvl w:val="0"/>
          <w:numId w:val="8"/>
        </w:numPr>
        <w:pBdr/>
        <w:shd w:val="clear" w:fill="auto"/>
        <w:spacing w:lineRule="auto" w:line="276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príjem na účet min. 1.500 € mesačne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a súčasne</w:t>
      </w:r>
    </w:p>
    <w:p>
      <w:pPr>
        <w:pStyle w:val="Normal"/>
        <w:keepNext w:val="false"/>
        <w:keepLines w:val="false"/>
        <w:widowControl/>
        <w:numPr>
          <w:ilvl w:val="0"/>
          <w:numId w:val="8"/>
        </w:numPr>
        <w:pBdr/>
        <w:shd w:val="clear" w:fill="auto"/>
        <w:spacing w:lineRule="auto" w:line="276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 pravidelné platby mesačne (na základe SEPA trvalého príkazu na úhradu alebo súhlasu so SEPA inkasom)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a súčasne</w:t>
      </w:r>
    </w:p>
    <w:p>
      <w:pPr>
        <w:pStyle w:val="Normal"/>
        <w:keepNext w:val="false"/>
        <w:keepLines w:val="false"/>
        <w:widowControl/>
        <w:numPr>
          <w:ilvl w:val="0"/>
          <w:numId w:val="8"/>
        </w:numPr>
        <w:pBdr/>
        <w:shd w:val="clear" w:fill="auto"/>
        <w:spacing w:lineRule="auto" w:line="276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5 platieb platobnou kartou mesačne (debetnou alebo kreditnou)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720" w:right="0" w:hanging="72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alebo</w:t>
      </w:r>
    </w:p>
    <w:p>
      <w:pPr>
        <w:pStyle w:val="Normal"/>
        <w:keepNext w:val="false"/>
        <w:keepLines w:val="false"/>
        <w:widowControl/>
        <w:numPr>
          <w:ilvl w:val="0"/>
          <w:numId w:val="9"/>
        </w:numPr>
        <w:pBdr/>
        <w:shd w:val="clear" w:fill="auto"/>
        <w:spacing w:lineRule="auto" w:line="276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priemerný mesačný stav úspor a/alebo nesplatených úverov v ČSOB min. 30.000 €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720" w:right="0" w:hanging="72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alebo</w:t>
      </w:r>
    </w:p>
    <w:p>
      <w:pPr>
        <w:pStyle w:val="Normal"/>
        <w:keepNext w:val="false"/>
        <w:keepLines w:val="false"/>
        <w:widowControl/>
        <w:numPr>
          <w:ilvl w:val="0"/>
          <w:numId w:val="9"/>
        </w:numPr>
        <w:pBdr/>
        <w:shd w:val="clear" w:fill="auto"/>
        <w:spacing w:lineRule="auto" w:line="276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aktívne využívanie podnikateľského konta (fyzická osoba min. 5 platobných operácií a kreditný obrat min. 3.000 €, právnická osoba min. 10 platobných operácií a kreditný obrat min. 3.000 €)</w:t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 xml:space="preserve">100% zľava z poplatku za vedenie </w:t>
      </w:r>
    </w:p>
    <w:p>
      <w:pPr>
        <w:pStyle w:val="Normal"/>
        <w:keepNext w:val="false"/>
        <w:keepLines w:val="false"/>
        <w:widowControl/>
        <w:numPr>
          <w:ilvl w:val="0"/>
          <w:numId w:val="9"/>
        </w:numPr>
        <w:pBdr/>
        <w:shd w:val="clear" w:fill="auto"/>
        <w:spacing w:lineRule="auto" w:line="276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kombináciou min. dvoch 50% zliav 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Fio banka</w:t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Fio osobný účet</w:t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position w:val="0"/>
          <w:sz w:val="22"/>
          <w:u w:val="single"/>
          <w:vertAlign w:val="baseline"/>
        </w:rPr>
        <w:t>mesačný poplatok za vedenie balíka služieb je 0,00 €</w:t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position w:val="0"/>
          <w:sz w:val="22"/>
          <w:u w:val="single"/>
          <w:vertAlign w:val="baseline"/>
        </w:rPr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  <w:t>2 bezplatné výbery mesačne z akéhokoľvek bankomatu na svete.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mBank</w:t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mKonto</w:t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position w:val="0"/>
          <w:sz w:val="22"/>
          <w:u w:val="single"/>
          <w:vertAlign w:val="baseline"/>
        </w:rPr>
        <w:t>mesačný poplatok za vedenie balíka služieb je 0,00 €</w:t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position w:val="0"/>
          <w:sz w:val="22"/>
          <w:u w:val="single"/>
          <w:vertAlign w:val="baseline"/>
        </w:rPr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  <w:t>Bezplatné výbery z akéhokoľvek bankomatu v SR alebo v zahraničí pri výbere vo výške 70 eur a viac.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  <w:t>Aktívni klienti, ktorí uskutočnia bezhotovostné platby debetnou kartou u obchodníkov alebo na internete vo výške min. 70 € mesačne alebo ak využívajú niektorý z úverových produktov banky, majú vedenie hlavnej platobnej karty bezplatné. Pokiaľ klienti kartu nevyužívajú, účet je možné založiť aj bez karty. Za nevyužívanú platobnú kartu banka účtuje poplatok 1,30 € mesačne.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OTP Banka</w:t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Aktívny účet</w:t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position w:val="0"/>
          <w:sz w:val="22"/>
          <w:u w:val="single"/>
          <w:vertAlign w:val="baseline"/>
        </w:rPr>
        <w:t>mesačný poplatok za vedenie balíka služieb je 6,00 € / 3,00 € / 0,00 €</w:t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position w:val="0"/>
          <w:sz w:val="22"/>
          <w:u w:val="single"/>
          <w:vertAlign w:val="baseline"/>
        </w:rPr>
      </w:r>
    </w:p>
    <w:p>
      <w:pPr>
        <w:pStyle w:val="Normal"/>
        <w:spacing w:lineRule="auto" w:line="240" w:before="0" w:after="0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50% zľava z poplatku za vedenie za splnenie podmienky Aktívny klient</w:t>
      </w:r>
    </w:p>
    <w:p>
      <w:pPr>
        <w:pStyle w:val="Normal"/>
        <w:keepNext w:val="false"/>
        <w:keepLines w:val="false"/>
        <w:widowControl/>
        <w:numPr>
          <w:ilvl w:val="0"/>
          <w:numId w:val="8"/>
        </w:numPr>
        <w:pBdr/>
        <w:shd w:val="clear" w:fill="auto"/>
        <w:spacing w:lineRule="auto" w:line="276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príjem na účet min. 300 € mesačne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a zároveň</w:t>
      </w:r>
    </w:p>
    <w:p>
      <w:pPr>
        <w:pStyle w:val="Normal"/>
        <w:keepNext w:val="false"/>
        <w:keepLines w:val="false"/>
        <w:widowControl/>
        <w:numPr>
          <w:ilvl w:val="0"/>
          <w:numId w:val="8"/>
        </w:numPr>
        <w:pBdr/>
        <w:shd w:val="clear" w:fill="auto"/>
        <w:spacing w:lineRule="auto" w:line="276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 platby platobnou kartou mesačne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a zároveň</w:t>
      </w:r>
    </w:p>
    <w:p>
      <w:pPr>
        <w:pStyle w:val="Normal"/>
        <w:keepNext w:val="false"/>
        <w:keepLines w:val="false"/>
        <w:widowControl/>
        <w:numPr>
          <w:ilvl w:val="0"/>
          <w:numId w:val="8"/>
        </w:numPr>
        <w:pBdr/>
        <w:shd w:val="clear" w:fill="auto"/>
        <w:spacing w:lineRule="auto" w:line="276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min. 1 platba na základe SEPA trvalého príkazu na úhradu alebo SEPA inkasa mesačne </w:t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position w:val="0"/>
          <w:sz w:val="22"/>
          <w:u w:val="single"/>
          <w:vertAlign w:val="baseline"/>
        </w:rPr>
      </w:r>
    </w:p>
    <w:p>
      <w:pPr>
        <w:pStyle w:val="Normal"/>
        <w:spacing w:lineRule="auto" w:line="240" w:before="0" w:after="0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100% zľava z poplatku za vedenie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b w:val="false"/>
          <w:b w:val="false"/>
        </w:rPr>
      </w:pPr>
      <w:r>
        <w:rPr>
          <w:b w:val="false"/>
          <w:position w:val="0"/>
          <w:sz w:val="22"/>
          <w:vertAlign w:val="baseline"/>
        </w:rPr>
        <w:t xml:space="preserve">za splnenie podmienky Aktívny klient </w:t>
      </w:r>
      <w:r>
        <w:rPr>
          <w:b w:val="false"/>
          <w:position w:val="0"/>
          <w:sz w:val="22"/>
          <w:u w:val="single"/>
          <w:vertAlign w:val="baseline"/>
        </w:rPr>
        <w:t>a zároveň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b w:val="false"/>
          <w:b w:val="false"/>
          <w:u w:val="single"/>
        </w:rPr>
      </w:pPr>
      <w:r>
        <w:rPr>
          <w:position w:val="0"/>
          <w:sz w:val="22"/>
          <w:vertAlign w:val="baseline"/>
        </w:rPr>
        <w:t>priemerný zostatok na všetkých vkladových produktoch klienta v banke za mesiac je min. 10.000 €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Poštová banka</w:t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Užitočný účet</w:t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position w:val="0"/>
          <w:sz w:val="22"/>
          <w:u w:val="single"/>
          <w:vertAlign w:val="baseline"/>
        </w:rPr>
        <w:t>mesačný poplatok za vedenie balíka služieb je 5,00 € / 0,00 €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100% zľava z poplatku za vedenie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>priemerný denný zostatok na depozitných produktoch klienta v Poštovej banke, účtoch a vkladových produktoch, za mesiac presiahne 20.000 €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Prima Banka</w:t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Osobný účet</w:t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position w:val="0"/>
          <w:sz w:val="22"/>
          <w:u w:val="single"/>
          <w:vertAlign w:val="baseline"/>
        </w:rPr>
        <w:t>mesačný poplatok za vedenie balíka služieb je 3,90 € / 0,00 €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100% zľava z poplatku za vedenie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hanging="360"/>
        <w:rPr>
          <w:b w:val="false"/>
          <w:b w:val="false"/>
          <w:u w:val="single"/>
        </w:rPr>
      </w:pPr>
      <w:r>
        <w:rPr>
          <w:position w:val="0"/>
          <w:sz w:val="22"/>
          <w:vertAlign w:val="baseline"/>
        </w:rPr>
        <w:t>priemerný denný kreditný zostatok klienta na účte je vyšší ako 10.000 €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  <w:t>Odmena za platby platobnou kartou vo výške 0,50% zo súčtu platieb, maximálne do výšky mesačného poplatku za vedenie účtu.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 xml:space="preserve">Raiffeisen BANK </w:t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b/>
          <w:position w:val="0"/>
          <w:sz w:val="22"/>
          <w:vertAlign w:val="baseline"/>
        </w:rPr>
        <w:t>Parádny účet</w:t>
      </w:r>
      <w:r>
        <w:rPr>
          <w:position w:val="0"/>
          <w:sz w:val="22"/>
          <w:vertAlign w:val="baseline"/>
        </w:rPr>
        <w:br/>
      </w:r>
      <w:r>
        <w:rPr>
          <w:position w:val="0"/>
          <w:sz w:val="22"/>
          <w:u w:val="single"/>
          <w:vertAlign w:val="baseline"/>
        </w:rPr>
        <w:t>mesačný poplatok za vedenie balíka služieb je 5,50 € / 2,75 € / 0,00 €</w:t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position w:val="0"/>
          <w:sz w:val="22"/>
          <w:u w:val="single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 xml:space="preserve">50% zľava z poplatku za vedenie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>príjem na účet min. 400 € mesačne (bezhotovostných platieb alebo vkladov v hotovosti) alebo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hanging="360"/>
        <w:rPr>
          <w:b w:val="false"/>
          <w:b w:val="false"/>
          <w:u w:val="single"/>
        </w:rPr>
      </w:pPr>
      <w:r>
        <w:rPr>
          <w:position w:val="0"/>
          <w:sz w:val="22"/>
          <w:vertAlign w:val="baseline"/>
        </w:rPr>
        <w:t>aspoň jedna bezhotovostná platba na základe zriadeného súhlasu / mandátu na SEPA inkaso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100% zľava z poplatku za vedenie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>v prípade súčasného splnenia obidvoch podmienok pre získanie 50% zľavy</w:t>
      </w:r>
    </w:p>
    <w:p>
      <w:pPr>
        <w:pStyle w:val="Normal"/>
        <w:spacing w:lineRule="auto" w:line="240" w:before="0" w:after="0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Slovenská sporiteľňa</w:t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b/>
          <w:position w:val="0"/>
          <w:sz w:val="22"/>
          <w:vertAlign w:val="baseline"/>
        </w:rPr>
        <w:t>Osobný účet</w:t>
      </w:r>
      <w:r>
        <w:rPr>
          <w:position w:val="0"/>
          <w:sz w:val="22"/>
          <w:vertAlign w:val="baseline"/>
        </w:rPr>
        <w:br/>
      </w:r>
      <w:r>
        <w:rPr>
          <w:position w:val="0"/>
          <w:sz w:val="22"/>
          <w:u w:val="single"/>
          <w:vertAlign w:val="baseline"/>
        </w:rPr>
        <w:t>mesačný poplatok za vedenie balíka služieb je 5,90 € / 2,95 € / 0,00 €</w:t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u w:val="single"/>
          <w:vertAlign w:val="baseline"/>
        </w:rPr>
      </w:pPr>
      <w:r>
        <w:rPr>
          <w:b w:val="false"/>
          <w:position w:val="0"/>
          <w:sz w:val="22"/>
          <w:u w:val="single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 xml:space="preserve">50% zľava z poplatku za vedenie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 xml:space="preserve">platby kartou vo výške min. 100 € mesačne </w:t>
      </w:r>
      <w:r>
        <w:rPr>
          <w:position w:val="0"/>
          <w:sz w:val="22"/>
          <w:u w:val="single"/>
          <w:vertAlign w:val="baseline"/>
        </w:rPr>
        <w:t>a súčasne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 xml:space="preserve">min. 1 pravidelná platba mesačne (trvalý príkaz alebo inkaso) </w:t>
      </w:r>
      <w:r>
        <w:rPr>
          <w:position w:val="0"/>
          <w:sz w:val="22"/>
          <w:u w:val="single"/>
          <w:vertAlign w:val="baseline"/>
        </w:rPr>
        <w:t>a súčasne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>min. 1 platba na sporenie vo výške minimálnej sumy sporenia mesačne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 xml:space="preserve">100% zľava z poplatku za vedenie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 xml:space="preserve">platby kartou vo výške min. 200 € mesačne </w:t>
      </w:r>
      <w:r>
        <w:rPr>
          <w:position w:val="0"/>
          <w:sz w:val="22"/>
          <w:u w:val="single"/>
          <w:vertAlign w:val="baseline"/>
        </w:rPr>
        <w:t>a súčasne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 xml:space="preserve">min. 3 pravidelné platby mesačne (trvalý príkaz alebo inkaso) </w:t>
      </w:r>
      <w:r>
        <w:rPr>
          <w:position w:val="0"/>
          <w:sz w:val="22"/>
          <w:u w:val="single"/>
          <w:vertAlign w:val="baseline"/>
        </w:rPr>
        <w:t>a súčasne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 xml:space="preserve">min. 1 platba na sporenie vo výške minimálnej sumy sporenia mesačne </w:t>
      </w:r>
    </w:p>
    <w:p>
      <w:pPr>
        <w:pStyle w:val="Normal"/>
        <w:spacing w:lineRule="auto" w:line="240" w:before="0" w:after="0"/>
        <w:ind w:left="720" w:hanging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  <w:t>alebo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>aktíva klienta v banke sú vo výške 15.000 €</w:t>
      </w:r>
    </w:p>
    <w:p>
      <w:pPr>
        <w:pStyle w:val="Normal"/>
        <w:spacing w:lineRule="auto" w:line="240" w:before="0" w:after="0"/>
        <w:ind w:left="720" w:hanging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  <w:t>alebo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>aktívne využívanie platobnej karty vydanej k Business účtu (5 transakcií kartou - výberov hotovosti z bankomatu alebo bezhotovostných platieb)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b/>
          <w:position w:val="0"/>
          <w:sz w:val="22"/>
          <w:vertAlign w:val="baseline"/>
        </w:rPr>
        <w:t>Osobný účet Exclusive</w:t>
      </w:r>
      <w:r>
        <w:rPr>
          <w:position w:val="0"/>
          <w:sz w:val="22"/>
          <w:vertAlign w:val="baseline"/>
        </w:rPr>
        <w:br/>
      </w:r>
      <w:r>
        <w:rPr>
          <w:position w:val="0"/>
          <w:sz w:val="22"/>
          <w:u w:val="single"/>
          <w:vertAlign w:val="baseline"/>
        </w:rPr>
        <w:t>mesačný poplatok za vedenie balíka služieb je 8,90 € / 4,45 € / 0,00 €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 xml:space="preserve">50% zľava z poplatku za vedenie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 xml:space="preserve">platby kartou vo výške min. 200 € mesačne </w:t>
      </w:r>
      <w:r>
        <w:rPr>
          <w:position w:val="0"/>
          <w:sz w:val="22"/>
          <w:u w:val="single"/>
          <w:vertAlign w:val="baseline"/>
        </w:rPr>
        <w:t>a súčasne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 xml:space="preserve">min. 3 pravidelné platby mesačne (trvalý príkaz alebo inkaso) </w:t>
      </w:r>
      <w:r>
        <w:rPr>
          <w:position w:val="0"/>
          <w:sz w:val="22"/>
          <w:u w:val="single"/>
          <w:vertAlign w:val="baseline"/>
        </w:rPr>
        <w:t>a súčasne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>min. 1 platba na sporenie vo výške minimálnej sumy sporenia mesačne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 xml:space="preserve">100% zľava z poplatku za vedenie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 xml:space="preserve">platby kartou vo výške min. 400 € mesačne </w:t>
      </w:r>
      <w:r>
        <w:rPr>
          <w:position w:val="0"/>
          <w:sz w:val="22"/>
          <w:u w:val="single"/>
          <w:vertAlign w:val="baseline"/>
        </w:rPr>
        <w:t>a súčasne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 xml:space="preserve">min. 3 pravidelné platby mesačne (trvalý príkaz alebo inkaso) </w:t>
      </w:r>
      <w:r>
        <w:rPr>
          <w:position w:val="0"/>
          <w:sz w:val="22"/>
          <w:u w:val="single"/>
          <w:vertAlign w:val="baseline"/>
        </w:rPr>
        <w:t>a súčasne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 xml:space="preserve">min. 1 platba na sporenie vo výške minimálnej sumy sporenia mesačne </w:t>
      </w:r>
    </w:p>
    <w:p>
      <w:pPr>
        <w:pStyle w:val="Normal"/>
        <w:spacing w:lineRule="auto" w:line="240" w:before="0" w:after="0"/>
        <w:ind w:left="720" w:hanging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  <w:t>alebo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 xml:space="preserve">aktíva klienta v banke sú vo výške 30.000 € </w:t>
      </w:r>
    </w:p>
    <w:p>
      <w:pPr>
        <w:pStyle w:val="Normal"/>
        <w:spacing w:lineRule="auto" w:line="240" w:before="0" w:after="0"/>
        <w:ind w:left="720" w:hanging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  <w:t>alebo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>aktívne využívanie platobnej karty vydanej k Business účtu (5 transakcií kartou - výberov hotovosti z bankomatu alebo bezhotovostných platieb)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Tatra Banka</w:t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b/>
          <w:position w:val="0"/>
          <w:sz w:val="22"/>
          <w:vertAlign w:val="baseline"/>
        </w:rPr>
        <w:t>Tatra Personal</w:t>
      </w:r>
      <w:r>
        <w:rPr>
          <w:position w:val="0"/>
          <w:sz w:val="22"/>
          <w:vertAlign w:val="baseline"/>
        </w:rPr>
        <w:br/>
      </w:r>
      <w:r>
        <w:rPr>
          <w:position w:val="0"/>
          <w:sz w:val="22"/>
          <w:u w:val="single"/>
          <w:vertAlign w:val="baseline"/>
        </w:rPr>
        <w:t>mesačný poplatok za vedenie balíka služieb je 7,00 € / 3,50 € / 0,00 €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50% zľava z poplatku za vedenie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 xml:space="preserve">využitie produktov a služieb z aspoň 2 produktových kategórií </w:t>
      </w:r>
    </w:p>
    <w:p>
      <w:pPr>
        <w:pStyle w:val="Normal"/>
        <w:spacing w:lineRule="auto" w:line="240" w:before="0" w:after="0"/>
        <w:ind w:left="720" w:hanging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  <w:t>alebo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>zrealizovanie aspoň 7 transakcií v sledovanom období prostredníctvom inovácií Tatra banky: mobilná aplikácia Tatra banka, VIAMO, Bezkontaktné mobilné platby</w:t>
      </w:r>
      <w:r>
        <w:rPr>
          <w:vertAlign w:val="superscript"/>
        </w:rPr>
        <w:t>TB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>automaticky vo veku od 20 rokov do dovŕšenia 28. roku veku</w:t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 w:val="false"/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100% zľava z poplatku za vedenie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 xml:space="preserve">využitie produktov a služieb z aspoň 3 produktových kategórií </w:t>
      </w:r>
    </w:p>
    <w:p>
      <w:pPr>
        <w:pStyle w:val="Normal"/>
        <w:spacing w:lineRule="auto" w:line="240" w:before="0" w:after="0"/>
        <w:ind w:left="720" w:hanging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  <w:t>alebo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>spojením dvoch 50% zliav</w:t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position w:val="0"/>
          <w:sz w:val="22"/>
          <w:u w:val="single"/>
          <w:vertAlign w:val="baseline"/>
        </w:rPr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position w:val="0"/>
          <w:sz w:val="22"/>
          <w:u w:val="single"/>
          <w:vertAlign w:val="baseline"/>
        </w:rPr>
        <w:t xml:space="preserve">Produktové kategórie: 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080" w:hanging="360"/>
        <w:rPr/>
      </w:pPr>
      <w:r>
        <w:rPr>
          <w:position w:val="0"/>
          <w:sz w:val="22"/>
          <w:vertAlign w:val="baseline"/>
        </w:rPr>
        <w:t xml:space="preserve">Hypotekárny úver 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080" w:hanging="360"/>
        <w:rPr/>
      </w:pPr>
      <w:r>
        <w:rPr>
          <w:position w:val="0"/>
          <w:sz w:val="22"/>
          <w:vertAlign w:val="baseline"/>
        </w:rPr>
        <w:t xml:space="preserve">Bezúčelový úver 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080" w:hanging="360"/>
        <w:rPr/>
      </w:pPr>
      <w:r>
        <w:rPr>
          <w:position w:val="0"/>
          <w:sz w:val="22"/>
          <w:vertAlign w:val="baseline"/>
        </w:rPr>
        <w:t xml:space="preserve">Kreditná karta 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080" w:hanging="360"/>
        <w:rPr/>
      </w:pPr>
      <w:r>
        <w:rPr>
          <w:position w:val="0"/>
          <w:sz w:val="22"/>
          <w:vertAlign w:val="baseline"/>
        </w:rPr>
        <w:t xml:space="preserve">Doplnkové dôchodkové sporenie 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080" w:hanging="360"/>
        <w:rPr/>
      </w:pPr>
      <w:r>
        <w:rPr>
          <w:position w:val="0"/>
          <w:sz w:val="22"/>
          <w:vertAlign w:val="baseline"/>
        </w:rPr>
        <w:t xml:space="preserve">Podielové fondy 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080" w:hanging="360"/>
        <w:rPr/>
      </w:pPr>
      <w:r>
        <w:rPr>
          <w:position w:val="0"/>
          <w:sz w:val="22"/>
          <w:vertAlign w:val="baseline"/>
        </w:rPr>
        <w:t xml:space="preserve">Sporenie 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080" w:hanging="360"/>
        <w:rPr/>
      </w:pPr>
      <w:r>
        <w:rPr>
          <w:position w:val="0"/>
          <w:sz w:val="22"/>
          <w:vertAlign w:val="baseline"/>
        </w:rPr>
        <w:t xml:space="preserve">Cestové poistenie 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080" w:hanging="360"/>
        <w:rPr/>
      </w:pPr>
      <w:r>
        <w:rPr>
          <w:position w:val="0"/>
          <w:sz w:val="22"/>
          <w:vertAlign w:val="baseline"/>
        </w:rPr>
        <w:t xml:space="preserve">Životné poistenie 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080" w:hanging="360"/>
        <w:rPr/>
      </w:pPr>
      <w:r>
        <w:rPr>
          <w:position w:val="0"/>
          <w:sz w:val="22"/>
          <w:vertAlign w:val="baseline"/>
        </w:rPr>
        <w:t xml:space="preserve">Poistenie majetku 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080" w:hanging="360"/>
        <w:rPr/>
      </w:pPr>
      <w:r>
        <w:rPr>
          <w:position w:val="0"/>
          <w:sz w:val="22"/>
          <w:vertAlign w:val="baseline"/>
        </w:rPr>
        <w:t xml:space="preserve">Poistenie splácania hypotéky 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080" w:hanging="360"/>
        <w:rPr/>
      </w:pPr>
      <w:r>
        <w:rPr>
          <w:position w:val="0"/>
          <w:sz w:val="22"/>
          <w:vertAlign w:val="baseline"/>
        </w:rPr>
        <w:t xml:space="preserve">Cenné papiere 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080" w:hanging="360"/>
        <w:rPr/>
      </w:pPr>
      <w:r>
        <w:rPr>
          <w:position w:val="0"/>
          <w:sz w:val="22"/>
          <w:vertAlign w:val="baseline"/>
        </w:rPr>
        <w:t xml:space="preserve">Business účet </w:t>
      </w:r>
    </w:p>
    <w:p>
      <w:pPr>
        <w:pStyle w:val="Normal"/>
        <w:spacing w:lineRule="auto" w:line="240" w:before="0" w:after="0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UniCredit Bank</w:t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b/>
          <w:position w:val="0"/>
          <w:sz w:val="22"/>
          <w:vertAlign w:val="baseline"/>
        </w:rPr>
        <w:t>U konto</w:t>
      </w:r>
      <w:r>
        <w:rPr>
          <w:position w:val="0"/>
          <w:sz w:val="22"/>
          <w:vertAlign w:val="baseline"/>
        </w:rPr>
        <w:br/>
      </w:r>
      <w:r>
        <w:rPr>
          <w:position w:val="0"/>
          <w:sz w:val="22"/>
          <w:u w:val="single"/>
          <w:vertAlign w:val="baseline"/>
        </w:rPr>
        <w:t>mesačný poplatok za vedenie balíka služieb je 8,00 € / 0,00 €</w:t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position w:val="0"/>
          <w:sz w:val="22"/>
          <w:u w:val="single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100% zľava z poplatku za vedenie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720" w:hanging="360"/>
        <w:rPr>
          <w:u w:val="single"/>
        </w:rPr>
      </w:pPr>
      <w:r>
        <w:rPr>
          <w:position w:val="0"/>
          <w:sz w:val="22"/>
          <w:vertAlign w:val="baseline"/>
        </w:rPr>
        <w:t>bezhotovostný kreditný obrat na účte (mzda, dôchodok) min. 400 € mesačne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VÚB Banka</w:t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b/>
          <w:position w:val="0"/>
          <w:sz w:val="22"/>
          <w:vertAlign w:val="baseline"/>
        </w:rPr>
        <w:t>VÚB Účet</w:t>
      </w:r>
      <w:r>
        <w:rPr>
          <w:position w:val="0"/>
          <w:sz w:val="22"/>
          <w:vertAlign w:val="baseline"/>
        </w:rPr>
        <w:br/>
      </w:r>
      <w:r>
        <w:rPr>
          <w:position w:val="0"/>
          <w:sz w:val="22"/>
          <w:u w:val="single"/>
          <w:vertAlign w:val="baseline"/>
        </w:rPr>
        <w:t>mesačný poplatok za vedenie balíka služieb je 6,00 € / 3,00 € / 0,00 €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50% zľava z poplatku za vedenie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 xml:space="preserve">aspoň 1 krát za mesiac využiť službu Internet banking alebo Mobil banking </w:t>
      </w:r>
      <w:r>
        <w:rPr>
          <w:position w:val="0"/>
          <w:sz w:val="22"/>
          <w:u w:val="single"/>
          <w:vertAlign w:val="baseline"/>
        </w:rPr>
        <w:t>a súčasne</w:t>
      </w:r>
      <w:r>
        <w:rPr>
          <w:position w:val="0"/>
          <w:sz w:val="22"/>
          <w:vertAlign w:val="baseline"/>
        </w:rPr>
        <w:t xml:space="preserve"> 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 xml:space="preserve">príjem na účet min. 500 € mesačne </w:t>
      </w:r>
      <w:r>
        <w:rPr>
          <w:position w:val="0"/>
          <w:sz w:val="22"/>
          <w:u w:val="single"/>
          <w:vertAlign w:val="baseline"/>
        </w:rPr>
        <w:t>a zároveň</w:t>
      </w:r>
      <w:r>
        <w:rPr>
          <w:position w:val="0"/>
          <w:sz w:val="22"/>
          <w:vertAlign w:val="baseline"/>
        </w:rPr>
        <w:t xml:space="preserve"> 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>využiť aspoň 2 z vybraných produktov banky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100% zľava z poplatku za vedenie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 xml:space="preserve">aspoň 1 krát za mesiac využiť službu Internet banking alebo Mobil banking </w:t>
      </w:r>
      <w:r>
        <w:rPr>
          <w:position w:val="0"/>
          <w:sz w:val="22"/>
          <w:u w:val="single"/>
          <w:vertAlign w:val="baseline"/>
        </w:rPr>
        <w:t>a súčasne</w:t>
      </w:r>
      <w:r>
        <w:rPr>
          <w:position w:val="0"/>
          <w:sz w:val="22"/>
          <w:vertAlign w:val="baseline"/>
        </w:rPr>
        <w:t xml:space="preserve"> 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 xml:space="preserve">príjem na účet min. 500 € mesačne </w:t>
      </w:r>
      <w:r>
        <w:rPr>
          <w:position w:val="0"/>
          <w:sz w:val="22"/>
          <w:u w:val="single"/>
          <w:vertAlign w:val="baseline"/>
        </w:rPr>
        <w:t>a zároveň</w:t>
      </w:r>
      <w:r>
        <w:rPr>
          <w:position w:val="0"/>
          <w:sz w:val="22"/>
          <w:vertAlign w:val="baseline"/>
        </w:rPr>
        <w:t xml:space="preserve"> 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>využiť aspoň 3 z vybraných produktov banky</w:t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position w:val="0"/>
          <w:sz w:val="22"/>
          <w:u w:val="single"/>
          <w:vertAlign w:val="baseline"/>
        </w:rPr>
      </w:r>
    </w:p>
    <w:p>
      <w:pPr>
        <w:pStyle w:val="Normal"/>
        <w:spacing w:lineRule="auto" w:line="240" w:before="0" w:after="0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b/>
          <w:position w:val="0"/>
          <w:sz w:val="22"/>
          <w:vertAlign w:val="baseline"/>
        </w:rPr>
        <w:t>VÚB Účet Magnifica</w:t>
      </w:r>
      <w:r>
        <w:rPr>
          <w:position w:val="0"/>
          <w:sz w:val="22"/>
          <w:vertAlign w:val="baseline"/>
        </w:rPr>
        <w:br/>
      </w:r>
      <w:r>
        <w:rPr>
          <w:position w:val="0"/>
          <w:sz w:val="22"/>
          <w:u w:val="single"/>
          <w:vertAlign w:val="baseline"/>
        </w:rPr>
        <w:t>mesačný poplatok za vedenie balíka služieb je 9,00 € / 4,50 € / 0,00 €</w:t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position w:val="0"/>
          <w:sz w:val="22"/>
          <w:u w:val="single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50% zľava z poplatku za vedenie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 xml:space="preserve">aspoň 1 krát za mesiac využiť službu Internet banking alebo Mobil banking </w:t>
      </w:r>
      <w:r>
        <w:rPr>
          <w:position w:val="0"/>
          <w:sz w:val="22"/>
          <w:u w:val="single"/>
          <w:vertAlign w:val="baseline"/>
        </w:rPr>
        <w:t>a súčasne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 xml:space="preserve">príjem na účet min. 1.000 € mesačne </w:t>
      </w:r>
      <w:r>
        <w:rPr>
          <w:position w:val="0"/>
          <w:sz w:val="22"/>
          <w:u w:val="single"/>
          <w:vertAlign w:val="baseline"/>
        </w:rPr>
        <w:t>a zároveň</w:t>
      </w:r>
      <w:r>
        <w:rPr>
          <w:position w:val="0"/>
          <w:sz w:val="22"/>
          <w:vertAlign w:val="baseline"/>
        </w:rPr>
        <w:t xml:space="preserve"> 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>využiť aspoň 2 z vybraných produktov banky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100% zľava z poplatku za vedenie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 xml:space="preserve">aspoň 1 krát za mesiac využiť službu Internet banking alebo Mobil banking </w:t>
      </w:r>
      <w:r>
        <w:rPr>
          <w:position w:val="0"/>
          <w:sz w:val="22"/>
          <w:u w:val="single"/>
          <w:vertAlign w:val="baseline"/>
        </w:rPr>
        <w:t>a súčasne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 xml:space="preserve">príjem na účet min. 1.000 € mesačne </w:t>
      </w:r>
      <w:r>
        <w:rPr>
          <w:position w:val="0"/>
          <w:sz w:val="22"/>
          <w:u w:val="single"/>
          <w:vertAlign w:val="baseline"/>
        </w:rPr>
        <w:t>a zároveň</w:t>
      </w:r>
      <w:r>
        <w:rPr>
          <w:position w:val="0"/>
          <w:sz w:val="22"/>
          <w:vertAlign w:val="baseline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>využiť aspoň 3 z vybraných produktov banky</w:t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position w:val="0"/>
          <w:sz w:val="22"/>
          <w:u w:val="single"/>
          <w:vertAlign w:val="baseline"/>
        </w:rPr>
      </w:r>
    </w:p>
    <w:p>
      <w:pPr>
        <w:pStyle w:val="Normal"/>
        <w:spacing w:lineRule="auto" w:line="240" w:before="0" w:after="0"/>
        <w:rPr>
          <w:position w:val="0"/>
          <w:sz w:val="22"/>
          <w:u w:val="single"/>
          <w:vertAlign w:val="baseline"/>
        </w:rPr>
      </w:pPr>
      <w:r>
        <w:rPr>
          <w:position w:val="0"/>
          <w:sz w:val="22"/>
          <w:u w:val="single"/>
          <w:vertAlign w:val="baseline"/>
        </w:rPr>
        <w:t>Vybrané produkty na aplikovanie zľavy: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>spotrebný úver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>hypotekárny úver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>kreditná karta, min. 3 platby kreditnou kartou za mesiac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>pravidelné sporenie, min. 50 € mesačne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>depozitné produkty, priemerné denné zostatky na termínovaných vkladoch, sporiacich účtoch, vkladných knižkách, podielových fondoch a hypotekárnych záložných listov je min. 10.000 € za mesiac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20" w:hanging="360"/>
        <w:rPr/>
      </w:pPr>
      <w:r>
        <w:rPr>
          <w:position w:val="0"/>
          <w:sz w:val="22"/>
          <w:vertAlign w:val="baseline"/>
        </w:rPr>
        <w:t>životné poistenie La Vita</w:t>
      </w:r>
    </w:p>
    <w:p>
      <w:pPr>
        <w:pStyle w:val="Normal"/>
        <w:spacing w:lineRule="auto" w:line="240" w:before="0" w:after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 w:val="false"/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 w:val="false"/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 w:val="false"/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>
          <w:b w:val="false"/>
          <w:b w:val="false"/>
          <w:position w:val="0"/>
          <w:sz w:val="22"/>
          <w:vertAlign w:val="baseline"/>
        </w:rPr>
      </w:pPr>
      <w:r>
        <w:rPr>
          <w:b w:val="false"/>
          <w:position w:val="0"/>
          <w:sz w:val="22"/>
          <w:vertAlign w:val="baseline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  <w:rFonts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2"/>
      </w:rPr>
    </w:lvl>
  </w:abstractNum>
  <w:abstractNum w:abstractNumId="9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</w:abstractNum>
  <w:abstractNum w:abstractNumId="10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2"/>
      </w:rPr>
    </w:lvl>
  </w:abstractNum>
  <w:abstractNum w:abstractNumId="1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</w:abstractNum>
  <w:abstractNum w:abstractNumId="1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</w:abstractNum>
  <w:abstractNum w:abstractNumId="1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rFonts w:cs="Noto Sans Symbols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 w:before="0" w:after="200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eastAsia="Noto Sans Symbols" w:cs="Noto Sans Symbols"/>
      <w:b w:val="false"/>
      <w:position w:val="0"/>
      <w:sz w:val="22"/>
      <w:vertAlign w:val="baseline"/>
    </w:rPr>
  </w:style>
  <w:style w:type="character" w:styleId="ListLabel2">
    <w:name w:val="ListLabel 2"/>
    <w:qFormat/>
    <w:rPr>
      <w:rFonts w:eastAsia="Courier New" w:cs="Courier New"/>
      <w:position w:val="0"/>
      <w:sz w:val="22"/>
      <w:vertAlign w:val="baseline"/>
    </w:rPr>
  </w:style>
  <w:style w:type="character" w:styleId="ListLabel3">
    <w:name w:val="ListLabel 3"/>
    <w:qFormat/>
    <w:rPr>
      <w:rFonts w:eastAsia="Noto Sans Symbols" w:cs="Noto Sans Symbols"/>
      <w:position w:val="0"/>
      <w:sz w:val="22"/>
      <w:vertAlign w:val="baseline"/>
    </w:rPr>
  </w:style>
  <w:style w:type="character" w:styleId="ListLabel4">
    <w:name w:val="ListLabel 4"/>
    <w:qFormat/>
    <w:rPr>
      <w:rFonts w:eastAsia="Noto Sans Symbols" w:cs="Noto Sans Symbols"/>
      <w:position w:val="0"/>
      <w:sz w:val="22"/>
      <w:vertAlign w:val="baseline"/>
    </w:rPr>
  </w:style>
  <w:style w:type="character" w:styleId="ListLabel5">
    <w:name w:val="ListLabel 5"/>
    <w:qFormat/>
    <w:rPr>
      <w:rFonts w:eastAsia="Courier New" w:cs="Courier New"/>
      <w:position w:val="0"/>
      <w:sz w:val="22"/>
      <w:vertAlign w:val="baseline"/>
    </w:rPr>
  </w:style>
  <w:style w:type="character" w:styleId="ListLabel6">
    <w:name w:val="ListLabel 6"/>
    <w:qFormat/>
    <w:rPr>
      <w:rFonts w:eastAsia="Noto Sans Symbols" w:cs="Noto Sans Symbols"/>
      <w:position w:val="0"/>
      <w:sz w:val="22"/>
      <w:vertAlign w:val="baseline"/>
    </w:rPr>
  </w:style>
  <w:style w:type="character" w:styleId="ListLabel7">
    <w:name w:val="ListLabel 7"/>
    <w:qFormat/>
    <w:rPr>
      <w:rFonts w:eastAsia="Noto Sans Symbols" w:cs="Noto Sans Symbols"/>
      <w:position w:val="0"/>
      <w:sz w:val="22"/>
      <w:vertAlign w:val="baseline"/>
    </w:rPr>
  </w:style>
  <w:style w:type="character" w:styleId="ListLabel8">
    <w:name w:val="ListLabel 8"/>
    <w:qFormat/>
    <w:rPr>
      <w:rFonts w:eastAsia="Courier New" w:cs="Courier New"/>
      <w:position w:val="0"/>
      <w:sz w:val="22"/>
      <w:vertAlign w:val="baseline"/>
    </w:rPr>
  </w:style>
  <w:style w:type="character" w:styleId="ListLabel9">
    <w:name w:val="ListLabel 9"/>
    <w:qFormat/>
    <w:rPr>
      <w:rFonts w:eastAsia="Noto Sans Symbols" w:cs="Noto Sans Symbols"/>
      <w:position w:val="0"/>
      <w:sz w:val="22"/>
      <w:vertAlign w:val="baseline"/>
    </w:rPr>
  </w:style>
  <w:style w:type="character" w:styleId="ListLabel10">
    <w:name w:val="ListLabel 10"/>
    <w:qFormat/>
    <w:rPr>
      <w:rFonts w:eastAsia="Noto Sans Symbols" w:cs="Noto Sans Symbols"/>
      <w:position w:val="0"/>
      <w:sz w:val="22"/>
      <w:vertAlign w:val="baseline"/>
    </w:rPr>
  </w:style>
  <w:style w:type="character" w:styleId="ListLabel11">
    <w:name w:val="ListLabel 11"/>
    <w:qFormat/>
    <w:rPr>
      <w:rFonts w:eastAsia="Courier New" w:cs="Courier New"/>
      <w:position w:val="0"/>
      <w:sz w:val="22"/>
      <w:vertAlign w:val="baseline"/>
    </w:rPr>
  </w:style>
  <w:style w:type="character" w:styleId="ListLabel12">
    <w:name w:val="ListLabel 12"/>
    <w:qFormat/>
    <w:rPr>
      <w:rFonts w:eastAsia="Noto Sans Symbols" w:cs="Noto Sans Symbols"/>
      <w:position w:val="0"/>
      <w:sz w:val="22"/>
      <w:vertAlign w:val="baseline"/>
    </w:rPr>
  </w:style>
  <w:style w:type="character" w:styleId="ListLabel13">
    <w:name w:val="ListLabel 13"/>
    <w:qFormat/>
    <w:rPr>
      <w:rFonts w:eastAsia="Noto Sans Symbols" w:cs="Noto Sans Symbols"/>
      <w:position w:val="0"/>
      <w:sz w:val="22"/>
      <w:vertAlign w:val="baseline"/>
    </w:rPr>
  </w:style>
  <w:style w:type="character" w:styleId="ListLabel14">
    <w:name w:val="ListLabel 14"/>
    <w:qFormat/>
    <w:rPr>
      <w:rFonts w:eastAsia="Courier New" w:cs="Courier New"/>
      <w:position w:val="0"/>
      <w:sz w:val="22"/>
      <w:vertAlign w:val="baseline"/>
    </w:rPr>
  </w:style>
  <w:style w:type="character" w:styleId="ListLabel15">
    <w:name w:val="ListLabel 15"/>
    <w:qFormat/>
    <w:rPr>
      <w:rFonts w:eastAsia="Noto Sans Symbols" w:cs="Noto Sans Symbols"/>
      <w:position w:val="0"/>
      <w:sz w:val="22"/>
      <w:vertAlign w:val="baseline"/>
    </w:rPr>
  </w:style>
  <w:style w:type="character" w:styleId="ListLabel16">
    <w:name w:val="ListLabel 16"/>
    <w:qFormat/>
    <w:rPr>
      <w:rFonts w:eastAsia="Noto Sans Symbols" w:cs="Noto Sans Symbols"/>
      <w:position w:val="0"/>
      <w:sz w:val="22"/>
      <w:vertAlign w:val="baseline"/>
    </w:rPr>
  </w:style>
  <w:style w:type="character" w:styleId="ListLabel17">
    <w:name w:val="ListLabel 17"/>
    <w:qFormat/>
    <w:rPr>
      <w:rFonts w:eastAsia="Courier New" w:cs="Courier New"/>
      <w:position w:val="0"/>
      <w:sz w:val="22"/>
      <w:vertAlign w:val="baseline"/>
    </w:rPr>
  </w:style>
  <w:style w:type="character" w:styleId="ListLabel18">
    <w:name w:val="ListLabel 18"/>
    <w:qFormat/>
    <w:rPr>
      <w:rFonts w:eastAsia="Noto Sans Symbols" w:cs="Noto Sans Symbols"/>
      <w:position w:val="0"/>
      <w:sz w:val="22"/>
      <w:vertAlign w:val="baseline"/>
    </w:rPr>
  </w:style>
  <w:style w:type="character" w:styleId="ListLabel19">
    <w:name w:val="ListLabel 19"/>
    <w:qFormat/>
    <w:rPr>
      <w:rFonts w:eastAsia="Noto Sans Symbols" w:cs="Noto Sans Symbols"/>
      <w:b w:val="false"/>
      <w:position w:val="0"/>
      <w:sz w:val="22"/>
      <w:vertAlign w:val="baseline"/>
    </w:rPr>
  </w:style>
  <w:style w:type="character" w:styleId="ListLabel20">
    <w:name w:val="ListLabel 20"/>
    <w:qFormat/>
    <w:rPr>
      <w:rFonts w:eastAsia="Courier New" w:cs="Courier New"/>
      <w:position w:val="0"/>
      <w:sz w:val="22"/>
      <w:vertAlign w:val="baseline"/>
    </w:rPr>
  </w:style>
  <w:style w:type="character" w:styleId="ListLabel21">
    <w:name w:val="ListLabel 21"/>
    <w:qFormat/>
    <w:rPr>
      <w:rFonts w:eastAsia="Noto Sans Symbols" w:cs="Noto Sans Symbols"/>
      <w:position w:val="0"/>
      <w:sz w:val="22"/>
      <w:vertAlign w:val="baseline"/>
    </w:rPr>
  </w:style>
  <w:style w:type="character" w:styleId="ListLabel22">
    <w:name w:val="ListLabel 22"/>
    <w:qFormat/>
    <w:rPr>
      <w:rFonts w:eastAsia="Noto Sans Symbols" w:cs="Noto Sans Symbols"/>
      <w:position w:val="0"/>
      <w:sz w:val="22"/>
      <w:vertAlign w:val="baseline"/>
    </w:rPr>
  </w:style>
  <w:style w:type="character" w:styleId="ListLabel23">
    <w:name w:val="ListLabel 23"/>
    <w:qFormat/>
    <w:rPr>
      <w:rFonts w:eastAsia="Courier New" w:cs="Courier New"/>
      <w:position w:val="0"/>
      <w:sz w:val="22"/>
      <w:vertAlign w:val="baseline"/>
    </w:rPr>
  </w:style>
  <w:style w:type="character" w:styleId="ListLabel24">
    <w:name w:val="ListLabel 24"/>
    <w:qFormat/>
    <w:rPr>
      <w:rFonts w:eastAsia="Noto Sans Symbols" w:cs="Noto Sans Symbols"/>
      <w:position w:val="0"/>
      <w:sz w:val="22"/>
      <w:vertAlign w:val="baseline"/>
    </w:rPr>
  </w:style>
  <w:style w:type="character" w:styleId="ListLabel25">
    <w:name w:val="ListLabel 25"/>
    <w:qFormat/>
    <w:rPr>
      <w:rFonts w:eastAsia="Noto Sans Symbols" w:cs="Noto Sans Symbols"/>
      <w:position w:val="0"/>
      <w:sz w:val="22"/>
      <w:vertAlign w:val="baseline"/>
    </w:rPr>
  </w:style>
  <w:style w:type="character" w:styleId="ListLabel26">
    <w:name w:val="ListLabel 26"/>
    <w:qFormat/>
    <w:rPr>
      <w:rFonts w:eastAsia="Courier New" w:cs="Courier New"/>
      <w:position w:val="0"/>
      <w:sz w:val="22"/>
      <w:vertAlign w:val="baseline"/>
    </w:rPr>
  </w:style>
  <w:style w:type="character" w:styleId="ListLabel27">
    <w:name w:val="ListLabel 27"/>
    <w:qFormat/>
    <w:rPr>
      <w:rFonts w:eastAsia="Noto Sans Symbols" w:cs="Noto Sans Symbols"/>
      <w:position w:val="0"/>
      <w:sz w:val="22"/>
      <w:vertAlign w:val="baseline"/>
    </w:rPr>
  </w:style>
  <w:style w:type="character" w:styleId="ListLabel28">
    <w:name w:val="ListLabel 28"/>
    <w:qFormat/>
    <w:rPr>
      <w:rFonts w:eastAsia="Noto Sans Symbols" w:cs="Noto Sans Symbols"/>
      <w:position w:val="0"/>
      <w:sz w:val="22"/>
      <w:vertAlign w:val="baseline"/>
    </w:rPr>
  </w:style>
  <w:style w:type="character" w:styleId="ListLabel29">
    <w:name w:val="ListLabel 29"/>
    <w:qFormat/>
    <w:rPr>
      <w:rFonts w:eastAsia="Courier New" w:cs="Courier New"/>
      <w:position w:val="0"/>
      <w:sz w:val="22"/>
      <w:vertAlign w:val="baseline"/>
    </w:rPr>
  </w:style>
  <w:style w:type="character" w:styleId="ListLabel30">
    <w:name w:val="ListLabel 30"/>
    <w:qFormat/>
    <w:rPr>
      <w:rFonts w:eastAsia="Noto Sans Symbols" w:cs="Noto Sans Symbols"/>
      <w:position w:val="0"/>
      <w:sz w:val="22"/>
      <w:vertAlign w:val="baseline"/>
    </w:rPr>
  </w:style>
  <w:style w:type="character" w:styleId="ListLabel31">
    <w:name w:val="ListLabel 31"/>
    <w:qFormat/>
    <w:rPr>
      <w:rFonts w:eastAsia="Noto Sans Symbols" w:cs="Noto Sans Symbols"/>
      <w:position w:val="0"/>
      <w:sz w:val="22"/>
      <w:vertAlign w:val="baseline"/>
    </w:rPr>
  </w:style>
  <w:style w:type="character" w:styleId="ListLabel32">
    <w:name w:val="ListLabel 32"/>
    <w:qFormat/>
    <w:rPr>
      <w:rFonts w:eastAsia="Courier New" w:cs="Courier New"/>
      <w:position w:val="0"/>
      <w:sz w:val="22"/>
      <w:vertAlign w:val="baseline"/>
    </w:rPr>
  </w:style>
  <w:style w:type="character" w:styleId="ListLabel33">
    <w:name w:val="ListLabel 33"/>
    <w:qFormat/>
    <w:rPr>
      <w:rFonts w:eastAsia="Noto Sans Symbols" w:cs="Noto Sans Symbols"/>
      <w:position w:val="0"/>
      <w:sz w:val="22"/>
      <w:vertAlign w:val="baseline"/>
    </w:rPr>
  </w:style>
  <w:style w:type="character" w:styleId="ListLabel34">
    <w:name w:val="ListLabel 34"/>
    <w:qFormat/>
    <w:rPr>
      <w:rFonts w:eastAsia="Noto Sans Symbols" w:cs="Noto Sans Symbols"/>
      <w:position w:val="0"/>
      <w:sz w:val="22"/>
      <w:vertAlign w:val="baseline"/>
    </w:rPr>
  </w:style>
  <w:style w:type="character" w:styleId="ListLabel35">
    <w:name w:val="ListLabel 35"/>
    <w:qFormat/>
    <w:rPr>
      <w:rFonts w:eastAsia="Courier New" w:cs="Courier New"/>
      <w:position w:val="0"/>
      <w:sz w:val="22"/>
      <w:vertAlign w:val="baseline"/>
    </w:rPr>
  </w:style>
  <w:style w:type="character" w:styleId="ListLabel36">
    <w:name w:val="ListLabel 36"/>
    <w:qFormat/>
    <w:rPr>
      <w:rFonts w:eastAsia="Noto Sans Symbols" w:cs="Noto Sans Symbols"/>
      <w:position w:val="0"/>
      <w:sz w:val="22"/>
      <w:vertAlign w:val="baseline"/>
    </w:rPr>
  </w:style>
  <w:style w:type="character" w:styleId="ListLabel37">
    <w:name w:val="ListLabel 37"/>
    <w:qFormat/>
    <w:rPr>
      <w:rFonts w:eastAsia="Noto Sans Symbols" w:cs="Noto Sans Symbols"/>
      <w:position w:val="0"/>
      <w:sz w:val="22"/>
      <w:vertAlign w:val="baseline"/>
    </w:rPr>
  </w:style>
  <w:style w:type="character" w:styleId="ListLabel38">
    <w:name w:val="ListLabel 38"/>
    <w:qFormat/>
    <w:rPr>
      <w:rFonts w:eastAsia="Courier New" w:cs="Courier New"/>
      <w:position w:val="0"/>
      <w:sz w:val="22"/>
      <w:vertAlign w:val="baseline"/>
    </w:rPr>
  </w:style>
  <w:style w:type="character" w:styleId="ListLabel39">
    <w:name w:val="ListLabel 39"/>
    <w:qFormat/>
    <w:rPr>
      <w:rFonts w:eastAsia="Noto Sans Symbols" w:cs="Noto Sans Symbols"/>
      <w:position w:val="0"/>
      <w:sz w:val="22"/>
      <w:vertAlign w:val="baseline"/>
    </w:rPr>
  </w:style>
  <w:style w:type="character" w:styleId="ListLabel40">
    <w:name w:val="ListLabel 40"/>
    <w:qFormat/>
    <w:rPr>
      <w:rFonts w:eastAsia="Noto Sans Symbols" w:cs="Noto Sans Symbols"/>
      <w:position w:val="0"/>
      <w:sz w:val="22"/>
      <w:vertAlign w:val="baseline"/>
    </w:rPr>
  </w:style>
  <w:style w:type="character" w:styleId="ListLabel41">
    <w:name w:val="ListLabel 41"/>
    <w:qFormat/>
    <w:rPr>
      <w:rFonts w:eastAsia="Courier New" w:cs="Courier New"/>
      <w:position w:val="0"/>
      <w:sz w:val="22"/>
      <w:vertAlign w:val="baseline"/>
    </w:rPr>
  </w:style>
  <w:style w:type="character" w:styleId="ListLabel42">
    <w:name w:val="ListLabel 42"/>
    <w:qFormat/>
    <w:rPr>
      <w:rFonts w:eastAsia="Noto Sans Symbols" w:cs="Noto Sans Symbols"/>
      <w:position w:val="0"/>
      <w:sz w:val="22"/>
      <w:vertAlign w:val="baseline"/>
    </w:rPr>
  </w:style>
  <w:style w:type="character" w:styleId="ListLabel43">
    <w:name w:val="ListLabel 43"/>
    <w:qFormat/>
    <w:rPr>
      <w:rFonts w:eastAsia="Noto Sans Symbols" w:cs="Noto Sans Symbols"/>
      <w:position w:val="0"/>
      <w:sz w:val="22"/>
      <w:vertAlign w:val="baseline"/>
    </w:rPr>
  </w:style>
  <w:style w:type="character" w:styleId="ListLabel44">
    <w:name w:val="ListLabel 44"/>
    <w:qFormat/>
    <w:rPr>
      <w:rFonts w:eastAsia="Courier New" w:cs="Courier New"/>
      <w:position w:val="0"/>
      <w:sz w:val="22"/>
      <w:vertAlign w:val="baseline"/>
    </w:rPr>
  </w:style>
  <w:style w:type="character" w:styleId="ListLabel45">
    <w:name w:val="ListLabel 45"/>
    <w:qFormat/>
    <w:rPr>
      <w:rFonts w:eastAsia="Noto Sans Symbols" w:cs="Noto Sans Symbols"/>
      <w:position w:val="0"/>
      <w:sz w:val="22"/>
      <w:vertAlign w:val="baseline"/>
    </w:rPr>
  </w:style>
  <w:style w:type="character" w:styleId="ListLabel46">
    <w:name w:val="ListLabel 46"/>
    <w:qFormat/>
    <w:rPr>
      <w:rFonts w:eastAsia="Noto Sans Symbols" w:cs="Noto Sans Symbols"/>
      <w:position w:val="0"/>
      <w:sz w:val="22"/>
      <w:vertAlign w:val="baseline"/>
    </w:rPr>
  </w:style>
  <w:style w:type="character" w:styleId="ListLabel47">
    <w:name w:val="ListLabel 47"/>
    <w:qFormat/>
    <w:rPr>
      <w:rFonts w:eastAsia="Courier New" w:cs="Courier New"/>
      <w:position w:val="0"/>
      <w:sz w:val="22"/>
      <w:vertAlign w:val="baseline"/>
    </w:rPr>
  </w:style>
  <w:style w:type="character" w:styleId="ListLabel48">
    <w:name w:val="ListLabel 48"/>
    <w:qFormat/>
    <w:rPr>
      <w:rFonts w:eastAsia="Noto Sans Symbols" w:cs="Noto Sans Symbols"/>
      <w:position w:val="0"/>
      <w:sz w:val="22"/>
      <w:vertAlign w:val="baseline"/>
    </w:rPr>
  </w:style>
  <w:style w:type="character" w:styleId="ListLabel49">
    <w:name w:val="ListLabel 49"/>
    <w:qFormat/>
    <w:rPr>
      <w:rFonts w:eastAsia="Noto Sans Symbols" w:cs="Noto Sans Symbols"/>
      <w:position w:val="0"/>
      <w:sz w:val="22"/>
      <w:vertAlign w:val="baseline"/>
    </w:rPr>
  </w:style>
  <w:style w:type="character" w:styleId="ListLabel50">
    <w:name w:val="ListLabel 50"/>
    <w:qFormat/>
    <w:rPr>
      <w:rFonts w:eastAsia="Courier New" w:cs="Courier New"/>
      <w:position w:val="0"/>
      <w:sz w:val="22"/>
      <w:vertAlign w:val="baseline"/>
    </w:rPr>
  </w:style>
  <w:style w:type="character" w:styleId="ListLabel51">
    <w:name w:val="ListLabel 51"/>
    <w:qFormat/>
    <w:rPr>
      <w:rFonts w:eastAsia="Noto Sans Symbols" w:cs="Noto Sans Symbols"/>
      <w:position w:val="0"/>
      <w:sz w:val="22"/>
      <w:vertAlign w:val="baseline"/>
    </w:rPr>
  </w:style>
  <w:style w:type="character" w:styleId="ListLabel52">
    <w:name w:val="ListLabel 52"/>
    <w:qFormat/>
    <w:rPr>
      <w:rFonts w:eastAsia="Noto Sans Symbols" w:cs="Noto Sans Symbols"/>
      <w:position w:val="0"/>
      <w:sz w:val="22"/>
      <w:vertAlign w:val="baseline"/>
    </w:rPr>
  </w:style>
  <w:style w:type="character" w:styleId="ListLabel53">
    <w:name w:val="ListLabel 53"/>
    <w:qFormat/>
    <w:rPr>
      <w:rFonts w:eastAsia="Courier New" w:cs="Courier New"/>
      <w:position w:val="0"/>
      <w:sz w:val="22"/>
      <w:vertAlign w:val="baseline"/>
    </w:rPr>
  </w:style>
  <w:style w:type="character" w:styleId="ListLabel54">
    <w:name w:val="ListLabel 54"/>
    <w:qFormat/>
    <w:rPr>
      <w:rFonts w:eastAsia="Noto Sans Symbols" w:cs="Noto Sans Symbols"/>
      <w:position w:val="0"/>
      <w:sz w:val="22"/>
      <w:vertAlign w:val="baseline"/>
    </w:rPr>
  </w:style>
  <w:style w:type="character" w:styleId="ListLabel55">
    <w:name w:val="ListLabel 55"/>
    <w:qFormat/>
    <w:rPr>
      <w:rFonts w:eastAsia="Noto Sans Symbols" w:cs="Noto Sans Symbols"/>
      <w:position w:val="0"/>
      <w:sz w:val="22"/>
      <w:vertAlign w:val="baseline"/>
    </w:rPr>
  </w:style>
  <w:style w:type="character" w:styleId="ListLabel56">
    <w:name w:val="ListLabel 56"/>
    <w:qFormat/>
    <w:rPr>
      <w:rFonts w:eastAsia="Courier New" w:cs="Courier New"/>
      <w:position w:val="0"/>
      <w:sz w:val="22"/>
      <w:vertAlign w:val="baseline"/>
    </w:rPr>
  </w:style>
  <w:style w:type="character" w:styleId="ListLabel57">
    <w:name w:val="ListLabel 57"/>
    <w:qFormat/>
    <w:rPr>
      <w:rFonts w:eastAsia="Noto Sans Symbols" w:cs="Noto Sans Symbols"/>
      <w:position w:val="0"/>
      <w:sz w:val="22"/>
      <w:vertAlign w:val="baseline"/>
    </w:rPr>
  </w:style>
  <w:style w:type="character" w:styleId="ListLabel58">
    <w:name w:val="ListLabel 58"/>
    <w:qFormat/>
    <w:rPr>
      <w:rFonts w:eastAsia="Noto Sans Symbols" w:cs="Noto Sans Symbols"/>
      <w:position w:val="0"/>
      <w:sz w:val="22"/>
      <w:vertAlign w:val="baseline"/>
    </w:rPr>
  </w:style>
  <w:style w:type="character" w:styleId="ListLabel59">
    <w:name w:val="ListLabel 59"/>
    <w:qFormat/>
    <w:rPr>
      <w:rFonts w:eastAsia="Courier New" w:cs="Courier New"/>
      <w:position w:val="0"/>
      <w:sz w:val="22"/>
      <w:vertAlign w:val="baseline"/>
    </w:rPr>
  </w:style>
  <w:style w:type="character" w:styleId="ListLabel60">
    <w:name w:val="ListLabel 60"/>
    <w:qFormat/>
    <w:rPr>
      <w:rFonts w:eastAsia="Noto Sans Symbols" w:cs="Noto Sans Symbols"/>
      <w:position w:val="0"/>
      <w:sz w:val="22"/>
      <w:vertAlign w:val="baseline"/>
    </w:rPr>
  </w:style>
  <w:style w:type="character" w:styleId="ListLabel61">
    <w:name w:val="ListLabel 61"/>
    <w:qFormat/>
    <w:rPr>
      <w:rFonts w:eastAsia="Noto Sans Symbols" w:cs="Noto Sans Symbols"/>
      <w:position w:val="0"/>
      <w:sz w:val="22"/>
      <w:vertAlign w:val="baseline"/>
    </w:rPr>
  </w:style>
  <w:style w:type="character" w:styleId="ListLabel62">
    <w:name w:val="ListLabel 62"/>
    <w:qFormat/>
    <w:rPr>
      <w:rFonts w:eastAsia="Courier New" w:cs="Courier New"/>
      <w:position w:val="0"/>
      <w:sz w:val="22"/>
      <w:vertAlign w:val="baseline"/>
    </w:rPr>
  </w:style>
  <w:style w:type="character" w:styleId="ListLabel63">
    <w:name w:val="ListLabel 63"/>
    <w:qFormat/>
    <w:rPr>
      <w:rFonts w:eastAsia="Noto Sans Symbols" w:cs="Noto Sans Symbols"/>
      <w:position w:val="0"/>
      <w:sz w:val="22"/>
      <w:vertAlign w:val="baseline"/>
    </w:rPr>
  </w:style>
  <w:style w:type="character" w:styleId="ListLabel64">
    <w:name w:val="ListLabel 64"/>
    <w:qFormat/>
    <w:rPr>
      <w:rFonts w:eastAsia="Noto Sans Symbols" w:cs="Noto Sans Symbols"/>
      <w:b w:val="false"/>
      <w:position w:val="0"/>
      <w:sz w:val="22"/>
      <w:sz w:val="22"/>
      <w:vertAlign w:val="baseline"/>
    </w:rPr>
  </w:style>
  <w:style w:type="character" w:styleId="ListLabel65">
    <w:name w:val="ListLabel 65"/>
    <w:qFormat/>
    <w:rPr>
      <w:position w:val="0"/>
      <w:sz w:val="22"/>
      <w:vertAlign w:val="baseline"/>
    </w:rPr>
  </w:style>
  <w:style w:type="character" w:styleId="ListLabel66">
    <w:name w:val="ListLabel 66"/>
    <w:qFormat/>
    <w:rPr>
      <w:position w:val="0"/>
      <w:sz w:val="22"/>
      <w:vertAlign w:val="baseline"/>
    </w:rPr>
  </w:style>
  <w:style w:type="character" w:styleId="ListLabel67">
    <w:name w:val="ListLabel 67"/>
    <w:qFormat/>
    <w:rPr>
      <w:position w:val="0"/>
      <w:sz w:val="22"/>
      <w:vertAlign w:val="baseline"/>
    </w:rPr>
  </w:style>
  <w:style w:type="character" w:styleId="ListLabel68">
    <w:name w:val="ListLabel 68"/>
    <w:qFormat/>
    <w:rPr>
      <w:position w:val="0"/>
      <w:sz w:val="22"/>
      <w:vertAlign w:val="baseline"/>
    </w:rPr>
  </w:style>
  <w:style w:type="character" w:styleId="ListLabel69">
    <w:name w:val="ListLabel 69"/>
    <w:qFormat/>
    <w:rPr>
      <w:position w:val="0"/>
      <w:sz w:val="22"/>
      <w:vertAlign w:val="baseline"/>
    </w:rPr>
  </w:style>
  <w:style w:type="character" w:styleId="ListLabel70">
    <w:name w:val="ListLabel 70"/>
    <w:qFormat/>
    <w:rPr>
      <w:position w:val="0"/>
      <w:sz w:val="22"/>
      <w:vertAlign w:val="baseline"/>
    </w:rPr>
  </w:style>
  <w:style w:type="character" w:styleId="ListLabel71">
    <w:name w:val="ListLabel 71"/>
    <w:qFormat/>
    <w:rPr>
      <w:position w:val="0"/>
      <w:sz w:val="22"/>
      <w:vertAlign w:val="baseline"/>
    </w:rPr>
  </w:style>
  <w:style w:type="character" w:styleId="ListLabel72">
    <w:name w:val="ListLabel 72"/>
    <w:qFormat/>
    <w:rPr>
      <w:position w:val="0"/>
      <w:sz w:val="22"/>
      <w:vertAlign w:val="baseline"/>
    </w:rPr>
  </w:style>
  <w:style w:type="character" w:styleId="ListLabel73">
    <w:name w:val="ListLabel 73"/>
    <w:qFormat/>
    <w:rPr>
      <w:rFonts w:eastAsia="Noto Sans Symbols" w:cs="Noto Sans Symbols"/>
      <w:b w:val="false"/>
      <w:position w:val="0"/>
      <w:sz w:val="22"/>
      <w:sz w:val="22"/>
      <w:vertAlign w:val="baseline"/>
    </w:rPr>
  </w:style>
  <w:style w:type="character" w:styleId="ListLabel74">
    <w:name w:val="ListLabel 74"/>
    <w:qFormat/>
    <w:rPr>
      <w:rFonts w:eastAsia="Courier New" w:cs="Courier New"/>
      <w:position w:val="0"/>
      <w:sz w:val="22"/>
      <w:vertAlign w:val="baseline"/>
    </w:rPr>
  </w:style>
  <w:style w:type="character" w:styleId="ListLabel75">
    <w:name w:val="ListLabel 75"/>
    <w:qFormat/>
    <w:rPr>
      <w:rFonts w:eastAsia="Noto Sans Symbols" w:cs="Noto Sans Symbols"/>
      <w:position w:val="0"/>
      <w:sz w:val="22"/>
      <w:vertAlign w:val="baseline"/>
    </w:rPr>
  </w:style>
  <w:style w:type="character" w:styleId="ListLabel76">
    <w:name w:val="ListLabel 76"/>
    <w:qFormat/>
    <w:rPr>
      <w:rFonts w:eastAsia="Noto Sans Symbols" w:cs="Noto Sans Symbols"/>
      <w:position w:val="0"/>
      <w:sz w:val="22"/>
      <w:vertAlign w:val="baseline"/>
    </w:rPr>
  </w:style>
  <w:style w:type="character" w:styleId="ListLabel77">
    <w:name w:val="ListLabel 77"/>
    <w:qFormat/>
    <w:rPr>
      <w:rFonts w:eastAsia="Courier New" w:cs="Courier New"/>
      <w:position w:val="0"/>
      <w:sz w:val="22"/>
      <w:vertAlign w:val="baseline"/>
    </w:rPr>
  </w:style>
  <w:style w:type="character" w:styleId="ListLabel78">
    <w:name w:val="ListLabel 78"/>
    <w:qFormat/>
    <w:rPr>
      <w:rFonts w:eastAsia="Noto Sans Symbols" w:cs="Noto Sans Symbols"/>
      <w:position w:val="0"/>
      <w:sz w:val="22"/>
      <w:vertAlign w:val="baseline"/>
    </w:rPr>
  </w:style>
  <w:style w:type="character" w:styleId="ListLabel79">
    <w:name w:val="ListLabel 79"/>
    <w:qFormat/>
    <w:rPr>
      <w:rFonts w:eastAsia="Noto Sans Symbols" w:cs="Noto Sans Symbols"/>
      <w:position w:val="0"/>
      <w:sz w:val="22"/>
      <w:vertAlign w:val="baseline"/>
    </w:rPr>
  </w:style>
  <w:style w:type="character" w:styleId="ListLabel80">
    <w:name w:val="ListLabel 80"/>
    <w:qFormat/>
    <w:rPr>
      <w:rFonts w:eastAsia="Courier New" w:cs="Courier New"/>
      <w:position w:val="0"/>
      <w:sz w:val="22"/>
      <w:vertAlign w:val="baseline"/>
    </w:rPr>
  </w:style>
  <w:style w:type="character" w:styleId="ListLabel81">
    <w:name w:val="ListLabel 81"/>
    <w:qFormat/>
    <w:rPr>
      <w:rFonts w:eastAsia="Noto Sans Symbols" w:cs="Noto Sans Symbols"/>
      <w:position w:val="0"/>
      <w:sz w:val="22"/>
      <w:vertAlign w:val="baseline"/>
    </w:rPr>
  </w:style>
  <w:style w:type="character" w:styleId="ListLabel82">
    <w:name w:val="ListLabel 82"/>
    <w:qFormat/>
    <w:rPr>
      <w:rFonts w:eastAsia="Noto Sans Symbols" w:cs="Noto Sans Symbols"/>
      <w:position w:val="0"/>
      <w:sz w:val="22"/>
      <w:vertAlign w:val="baseline"/>
    </w:rPr>
  </w:style>
  <w:style w:type="character" w:styleId="ListLabel83">
    <w:name w:val="ListLabel 83"/>
    <w:qFormat/>
    <w:rPr>
      <w:position w:val="0"/>
      <w:sz w:val="22"/>
      <w:vertAlign w:val="baseline"/>
    </w:rPr>
  </w:style>
  <w:style w:type="character" w:styleId="ListLabel84">
    <w:name w:val="ListLabel 84"/>
    <w:qFormat/>
    <w:rPr>
      <w:position w:val="0"/>
      <w:sz w:val="22"/>
      <w:vertAlign w:val="baseline"/>
    </w:rPr>
  </w:style>
  <w:style w:type="character" w:styleId="ListLabel85">
    <w:name w:val="ListLabel 85"/>
    <w:qFormat/>
    <w:rPr>
      <w:position w:val="0"/>
      <w:sz w:val="22"/>
      <w:vertAlign w:val="baseline"/>
    </w:rPr>
  </w:style>
  <w:style w:type="character" w:styleId="ListLabel86">
    <w:name w:val="ListLabel 86"/>
    <w:qFormat/>
    <w:rPr>
      <w:position w:val="0"/>
      <w:sz w:val="22"/>
      <w:vertAlign w:val="baseline"/>
    </w:rPr>
  </w:style>
  <w:style w:type="character" w:styleId="ListLabel87">
    <w:name w:val="ListLabel 87"/>
    <w:qFormat/>
    <w:rPr>
      <w:position w:val="0"/>
      <w:sz w:val="22"/>
      <w:vertAlign w:val="baseline"/>
    </w:rPr>
  </w:style>
  <w:style w:type="character" w:styleId="ListLabel88">
    <w:name w:val="ListLabel 88"/>
    <w:qFormat/>
    <w:rPr>
      <w:position w:val="0"/>
      <w:sz w:val="22"/>
      <w:vertAlign w:val="baseline"/>
    </w:rPr>
  </w:style>
  <w:style w:type="character" w:styleId="ListLabel89">
    <w:name w:val="ListLabel 89"/>
    <w:qFormat/>
    <w:rPr>
      <w:position w:val="0"/>
      <w:sz w:val="22"/>
      <w:vertAlign w:val="baseline"/>
    </w:rPr>
  </w:style>
  <w:style w:type="character" w:styleId="ListLabel90">
    <w:name w:val="ListLabel 90"/>
    <w:qFormat/>
    <w:rPr>
      <w:position w:val="0"/>
      <w:sz w:val="22"/>
      <w:vertAlign w:val="baseline"/>
    </w:rPr>
  </w:style>
  <w:style w:type="character" w:styleId="ListLabel91">
    <w:name w:val="ListLabel 91"/>
    <w:qFormat/>
    <w:rPr>
      <w:rFonts w:eastAsia="Noto Sans Symbols" w:cs="Noto Sans Symbols"/>
      <w:position w:val="0"/>
      <w:sz w:val="22"/>
      <w:vertAlign w:val="baseline"/>
    </w:rPr>
  </w:style>
  <w:style w:type="character" w:styleId="ListLabel92">
    <w:name w:val="ListLabel 92"/>
    <w:qFormat/>
    <w:rPr>
      <w:rFonts w:eastAsia="Courier New" w:cs="Courier New"/>
      <w:position w:val="0"/>
      <w:sz w:val="22"/>
      <w:vertAlign w:val="baseline"/>
    </w:rPr>
  </w:style>
  <w:style w:type="character" w:styleId="ListLabel93">
    <w:name w:val="ListLabel 93"/>
    <w:qFormat/>
    <w:rPr>
      <w:rFonts w:eastAsia="Noto Sans Symbols" w:cs="Noto Sans Symbols"/>
      <w:position w:val="0"/>
      <w:sz w:val="22"/>
      <w:vertAlign w:val="baseline"/>
    </w:rPr>
  </w:style>
  <w:style w:type="character" w:styleId="ListLabel94">
    <w:name w:val="ListLabel 94"/>
    <w:qFormat/>
    <w:rPr>
      <w:rFonts w:eastAsia="Noto Sans Symbols" w:cs="Noto Sans Symbols"/>
      <w:position w:val="0"/>
      <w:sz w:val="22"/>
      <w:vertAlign w:val="baseline"/>
    </w:rPr>
  </w:style>
  <w:style w:type="character" w:styleId="ListLabel95">
    <w:name w:val="ListLabel 95"/>
    <w:qFormat/>
    <w:rPr>
      <w:rFonts w:eastAsia="Courier New" w:cs="Courier New"/>
      <w:position w:val="0"/>
      <w:sz w:val="22"/>
      <w:vertAlign w:val="baseline"/>
    </w:rPr>
  </w:style>
  <w:style w:type="character" w:styleId="ListLabel96">
    <w:name w:val="ListLabel 96"/>
    <w:qFormat/>
    <w:rPr>
      <w:rFonts w:eastAsia="Noto Sans Symbols" w:cs="Noto Sans Symbols"/>
      <w:position w:val="0"/>
      <w:sz w:val="22"/>
      <w:vertAlign w:val="baseline"/>
    </w:rPr>
  </w:style>
  <w:style w:type="character" w:styleId="ListLabel97">
    <w:name w:val="ListLabel 97"/>
    <w:qFormat/>
    <w:rPr>
      <w:rFonts w:eastAsia="Noto Sans Symbols" w:cs="Noto Sans Symbols"/>
      <w:position w:val="0"/>
      <w:sz w:val="22"/>
      <w:vertAlign w:val="baseline"/>
    </w:rPr>
  </w:style>
  <w:style w:type="character" w:styleId="ListLabel98">
    <w:name w:val="ListLabel 98"/>
    <w:qFormat/>
    <w:rPr>
      <w:rFonts w:eastAsia="Courier New" w:cs="Courier New"/>
      <w:position w:val="0"/>
      <w:sz w:val="22"/>
      <w:vertAlign w:val="baseline"/>
    </w:rPr>
  </w:style>
  <w:style w:type="character" w:styleId="ListLabel99">
    <w:name w:val="ListLabel 99"/>
    <w:qFormat/>
    <w:rPr>
      <w:rFonts w:eastAsia="Noto Sans Symbols" w:cs="Noto Sans Symbols"/>
      <w:position w:val="0"/>
      <w:sz w:val="22"/>
      <w:vertAlign w:val="baseline"/>
    </w:rPr>
  </w:style>
  <w:style w:type="character" w:styleId="ListLabel100">
    <w:name w:val="ListLabel 100"/>
    <w:qFormat/>
    <w:rPr>
      <w:rFonts w:eastAsia="Noto Sans Symbols" w:cs="Noto Sans Symbols"/>
      <w:position w:val="0"/>
      <w:sz w:val="22"/>
      <w:vertAlign w:val="baseline"/>
    </w:rPr>
  </w:style>
  <w:style w:type="character" w:styleId="ListLabel101">
    <w:name w:val="ListLabel 101"/>
    <w:qFormat/>
    <w:rPr>
      <w:rFonts w:eastAsia="Courier New" w:cs="Courier New"/>
      <w:position w:val="0"/>
      <w:sz w:val="22"/>
      <w:vertAlign w:val="baseline"/>
    </w:rPr>
  </w:style>
  <w:style w:type="character" w:styleId="ListLabel102">
    <w:name w:val="ListLabel 102"/>
    <w:qFormat/>
    <w:rPr>
      <w:rFonts w:eastAsia="Noto Sans Symbols" w:cs="Noto Sans Symbols"/>
      <w:position w:val="0"/>
      <w:sz w:val="22"/>
      <w:vertAlign w:val="baseline"/>
    </w:rPr>
  </w:style>
  <w:style w:type="character" w:styleId="ListLabel103">
    <w:name w:val="ListLabel 103"/>
    <w:qFormat/>
    <w:rPr>
      <w:rFonts w:eastAsia="Noto Sans Symbols" w:cs="Noto Sans Symbols"/>
      <w:position w:val="0"/>
      <w:sz w:val="22"/>
      <w:vertAlign w:val="baseline"/>
    </w:rPr>
  </w:style>
  <w:style w:type="character" w:styleId="ListLabel104">
    <w:name w:val="ListLabel 104"/>
    <w:qFormat/>
    <w:rPr>
      <w:rFonts w:eastAsia="Courier New" w:cs="Courier New"/>
      <w:position w:val="0"/>
      <w:sz w:val="22"/>
      <w:vertAlign w:val="baseline"/>
    </w:rPr>
  </w:style>
  <w:style w:type="character" w:styleId="ListLabel105">
    <w:name w:val="ListLabel 105"/>
    <w:qFormat/>
    <w:rPr>
      <w:rFonts w:eastAsia="Noto Sans Symbols" w:cs="Noto Sans Symbols"/>
      <w:position w:val="0"/>
      <w:sz w:val="22"/>
      <w:vertAlign w:val="baseline"/>
    </w:rPr>
  </w:style>
  <w:style w:type="character" w:styleId="ListLabel106">
    <w:name w:val="ListLabel 106"/>
    <w:qFormat/>
    <w:rPr>
      <w:rFonts w:eastAsia="Noto Sans Symbols" w:cs="Noto Sans Symbols"/>
      <w:position w:val="0"/>
      <w:sz w:val="22"/>
      <w:vertAlign w:val="baseline"/>
    </w:rPr>
  </w:style>
  <w:style w:type="character" w:styleId="ListLabel107">
    <w:name w:val="ListLabel 107"/>
    <w:qFormat/>
    <w:rPr>
      <w:rFonts w:eastAsia="Courier New" w:cs="Courier New"/>
      <w:position w:val="0"/>
      <w:sz w:val="22"/>
      <w:vertAlign w:val="baseline"/>
    </w:rPr>
  </w:style>
  <w:style w:type="character" w:styleId="ListLabel108">
    <w:name w:val="ListLabel 108"/>
    <w:qFormat/>
    <w:rPr>
      <w:rFonts w:eastAsia="Noto Sans Symbols" w:cs="Noto Sans Symbols"/>
      <w:position w:val="0"/>
      <w:sz w:val="22"/>
      <w:vertAlign w:val="baseline"/>
    </w:rPr>
  </w:style>
  <w:style w:type="character" w:styleId="ListLabel109">
    <w:name w:val="ListLabel 109"/>
    <w:qFormat/>
    <w:rPr>
      <w:rFonts w:eastAsia="Noto Sans Symbols" w:cs="Noto Sans Symbols"/>
      <w:position w:val="0"/>
      <w:sz w:val="22"/>
      <w:vertAlign w:val="baseline"/>
    </w:rPr>
  </w:style>
  <w:style w:type="character" w:styleId="ListLabel110">
    <w:name w:val="ListLabel 110"/>
    <w:qFormat/>
    <w:rPr>
      <w:rFonts w:eastAsia="Courier New" w:cs="Courier New"/>
      <w:position w:val="0"/>
      <w:sz w:val="22"/>
      <w:vertAlign w:val="baseline"/>
    </w:rPr>
  </w:style>
  <w:style w:type="character" w:styleId="ListLabel111">
    <w:name w:val="ListLabel 111"/>
    <w:qFormat/>
    <w:rPr>
      <w:rFonts w:eastAsia="Noto Sans Symbols" w:cs="Noto Sans Symbols"/>
      <w:position w:val="0"/>
      <w:sz w:val="22"/>
      <w:vertAlign w:val="baseline"/>
    </w:rPr>
  </w:style>
  <w:style w:type="character" w:styleId="ListLabel112">
    <w:name w:val="ListLabel 112"/>
    <w:qFormat/>
    <w:rPr>
      <w:rFonts w:eastAsia="Noto Sans Symbols" w:cs="Noto Sans Symbols"/>
      <w:position w:val="0"/>
      <w:sz w:val="22"/>
      <w:vertAlign w:val="baseline"/>
    </w:rPr>
  </w:style>
  <w:style w:type="character" w:styleId="ListLabel113">
    <w:name w:val="ListLabel 113"/>
    <w:qFormat/>
    <w:rPr>
      <w:rFonts w:eastAsia="Courier New" w:cs="Courier New"/>
      <w:position w:val="0"/>
      <w:sz w:val="22"/>
      <w:vertAlign w:val="baseline"/>
    </w:rPr>
  </w:style>
  <w:style w:type="character" w:styleId="ListLabel114">
    <w:name w:val="ListLabel 114"/>
    <w:qFormat/>
    <w:rPr>
      <w:rFonts w:eastAsia="Noto Sans Symbols" w:cs="Noto Sans Symbols"/>
      <w:position w:val="0"/>
      <w:sz w:val="22"/>
      <w:vertAlign w:val="baseline"/>
    </w:rPr>
  </w:style>
  <w:style w:type="character" w:styleId="ListLabel115">
    <w:name w:val="ListLabel 115"/>
    <w:qFormat/>
    <w:rPr>
      <w:rFonts w:eastAsia="Noto Sans Symbols" w:cs="Noto Sans Symbols"/>
      <w:position w:val="0"/>
      <w:sz w:val="22"/>
      <w:vertAlign w:val="baseline"/>
    </w:rPr>
  </w:style>
  <w:style w:type="character" w:styleId="ListLabel116">
    <w:name w:val="ListLabel 116"/>
    <w:qFormat/>
    <w:rPr>
      <w:rFonts w:eastAsia="Courier New" w:cs="Courier New"/>
      <w:position w:val="0"/>
      <w:sz w:val="22"/>
      <w:vertAlign w:val="baseline"/>
    </w:rPr>
  </w:style>
  <w:style w:type="character" w:styleId="ListLabel117">
    <w:name w:val="ListLabel 117"/>
    <w:qFormat/>
    <w:rPr>
      <w:rFonts w:eastAsia="Noto Sans Symbols" w:cs="Noto Sans Symbols"/>
      <w:position w:val="0"/>
      <w:sz w:val="22"/>
      <w:vertAlign w:val="baselin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nadpis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LibreOffice/6.1.2.1$Windows_X86_64 LibreOffice_project/65905a128db06ba48db947242809d14d3f9a93fe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revision>0</cp:revision>
  <dc:subject/>
  <dc:title/>
</cp:coreProperties>
</file>